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09"/>
        <w:jc w:val="both"/>
        <w:rPr>
          <w:sz w:val="28"/>
        </w:rPr>
      </w:pPr>
    </w:p>
    <w:p w14:paraId="02000000">
      <w:pPr>
        <w:widowControl w:val="1"/>
        <w:ind w:firstLine="709"/>
        <w:jc w:val="center"/>
        <w:rPr>
          <w:b w:val="1"/>
          <w:sz w:val="28"/>
        </w:rPr>
      </w:pPr>
      <w:r>
        <w:rPr>
          <w:b w:val="1"/>
          <w:sz w:val="28"/>
        </w:rPr>
        <w:t>Об изменениях в правила предоплаты судебной экспертизы</w:t>
      </w:r>
    </w:p>
    <w:p w14:paraId="03000000">
      <w:pPr>
        <w:widowControl w:val="1"/>
        <w:ind/>
        <w:jc w:val="both"/>
        <w:rPr>
          <w:sz w:val="28"/>
        </w:rPr>
      </w:pPr>
    </w:p>
    <w:p w14:paraId="04000000">
      <w:pPr>
        <w:widowControl w:val="1"/>
        <w:spacing w:afterAutospacing="on" w:before="0" w:line="240" w:lineRule="auto"/>
        <w:ind w:firstLine="709"/>
        <w:jc w:val="both"/>
        <w:rPr>
          <w:rFonts w:ascii="Roboto" w:hAnsi="Roboto"/>
          <w:color w:val="333333"/>
        </w:rPr>
      </w:pPr>
      <w:r>
        <w:rPr>
          <w:color w:val="333333"/>
          <w:sz w:val="28"/>
        </w:rPr>
        <w:t>С 09.01.2026 вступили в силу изменения в Кодекс административного судопроизводства Российской Федерации о правилах предоплаты судебной экспертизы.</w:t>
      </w:r>
    </w:p>
    <w:p w14:paraId="05000000">
      <w:pPr>
        <w:widowControl w:val="1"/>
        <w:spacing w:afterAutospacing="on" w:before="0" w:line="240" w:lineRule="auto"/>
        <w:ind w:firstLine="709"/>
        <w:jc w:val="both"/>
        <w:rPr>
          <w:rFonts w:ascii="Roboto" w:hAnsi="Roboto"/>
          <w:color w:val="333333"/>
        </w:rPr>
      </w:pPr>
      <w:r>
        <w:rPr>
          <w:color w:val="333333"/>
          <w:sz w:val="28"/>
        </w:rPr>
        <w:t>Экспертиза по ходатайству участника дела назначается судом лишь после того, как на специальный счет будет внесена за нее плата. Исключения из правил составляют случаи, когда заявитель-гражданин полностью либо частично освобожден от таких расходов.</w:t>
      </w:r>
    </w:p>
    <w:p w14:paraId="06000000">
      <w:pPr>
        <w:widowControl w:val="1"/>
        <w:tabs>
          <w:tab w:leader="none" w:pos="567" w:val="left"/>
        </w:tabs>
        <w:ind w:firstLine="709"/>
        <w:jc w:val="both"/>
        <w:rPr>
          <w:color w:val="000000"/>
          <w:sz w:val="28"/>
          <w:highlight w:val="white"/>
        </w:rPr>
      </w:pPr>
      <w:r>
        <w:rPr>
          <w:color w:val="333333"/>
          <w:sz w:val="28"/>
        </w:rPr>
        <w:t xml:space="preserve">Срок зачисления денежных средств устанавливается судом. В случае </w:t>
      </w:r>
      <w:r>
        <w:rPr>
          <w:color w:val="333333"/>
          <w:sz w:val="28"/>
        </w:rPr>
        <w:t>не поступления</w:t>
      </w:r>
      <w:r>
        <w:rPr>
          <w:color w:val="333333"/>
          <w:sz w:val="28"/>
        </w:rPr>
        <w:t xml:space="preserve"> в срок установленный судом денежных средств на специальный счет, суд вправе отклонить ходатайство об экспертизе. При этом суд вправе назначить экспертизу по собственной инициативе в случае, когда дело нельзя разрешить с помощью иных доказатель</w:t>
      </w:r>
      <w:r>
        <w:rPr>
          <w:color w:val="333333"/>
          <w:sz w:val="28"/>
        </w:rPr>
        <w:t>ств ст</w:t>
      </w:r>
      <w:r>
        <w:rPr>
          <w:color w:val="333333"/>
          <w:sz w:val="28"/>
        </w:rPr>
        <w:t>орон.</w:t>
      </w:r>
    </w:p>
    <w:p w14:paraId="07000000">
      <w:pPr>
        <w:widowControl w:val="1"/>
        <w:tabs>
          <w:tab w:leader="none" w:pos="567" w:val="left"/>
        </w:tabs>
        <w:ind w:firstLine="709"/>
        <w:jc w:val="both"/>
        <w:rPr>
          <w:color w:val="000000"/>
          <w:sz w:val="28"/>
          <w:highlight w:val="white"/>
        </w:rPr>
      </w:pPr>
    </w:p>
    <w:p w14:paraId="08000000">
      <w:pPr>
        <w:widowControl w:val="1"/>
        <w:spacing w:line="220" w:lineRule="exact"/>
        <w:ind/>
        <w:jc w:val="both"/>
        <w:rPr>
          <w:sz w:val="28"/>
        </w:rPr>
      </w:pPr>
    </w:p>
    <w:p w14:paraId="09000000">
      <w:pPr>
        <w:widowControl w:val="1"/>
        <w:spacing w:line="220" w:lineRule="exact"/>
        <w:ind/>
        <w:jc w:val="both"/>
        <w:rPr>
          <w:sz w:val="20"/>
        </w:rPr>
      </w:pPr>
    </w:p>
    <w:p w14:paraId="0A000000">
      <w:pPr>
        <w:widowControl w:val="1"/>
        <w:spacing w:line="220" w:lineRule="exact"/>
        <w:ind/>
        <w:jc w:val="both"/>
        <w:rPr>
          <w:sz w:val="20"/>
        </w:rPr>
      </w:pPr>
    </w:p>
    <w:p w14:paraId="0B000000">
      <w:pPr>
        <w:widowControl w:val="1"/>
        <w:spacing w:line="220" w:lineRule="exact"/>
        <w:ind/>
        <w:jc w:val="both"/>
        <w:rPr>
          <w:sz w:val="20"/>
        </w:rPr>
      </w:pPr>
    </w:p>
    <w:p w14:paraId="0C000000">
      <w:pPr>
        <w:widowControl w:val="1"/>
        <w:spacing w:line="220" w:lineRule="exact"/>
        <w:ind/>
        <w:jc w:val="both"/>
        <w:rPr>
          <w:sz w:val="20"/>
        </w:rPr>
      </w:pPr>
    </w:p>
    <w:sectPr>
      <w:pgSz w:h="16838" w:orient="portrait" w:w="11906"/>
      <w:pgMar w:bottom="567" w:footer="708" w:gutter="0" w:header="708" w:left="1440" w:right="626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List Bullet"/>
    <w:basedOn w:val="Style_1"/>
    <w:link w:val="Style_2_ch"/>
    <w:pPr>
      <w:widowControl w:val="1"/>
      <w:ind w:hanging="360" w:left="720"/>
    </w:pPr>
  </w:style>
  <w:style w:styleId="Style_2_ch" w:type="character">
    <w:name w:val="List Bullet"/>
    <w:basedOn w:val="Style_1_ch"/>
    <w:link w:val="Style_2"/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Plain Text"/>
    <w:basedOn w:val="Style_1"/>
    <w:link w:val="Style_4_ch"/>
    <w:rPr>
      <w:rFonts w:ascii="Courier New" w:hAnsi="Courier New"/>
      <w:sz w:val="20"/>
    </w:rPr>
  </w:style>
  <w:style w:styleId="Style_4_ch" w:type="character">
    <w:name w:val="Plain Text"/>
    <w:basedOn w:val="Style_1_ch"/>
    <w:link w:val="Style_4"/>
    <w:rPr>
      <w:rFonts w:ascii="Courier New" w:hAnsi="Courier New"/>
      <w:sz w:val="20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No Spacing"/>
    <w:link w:val="Style_7_ch"/>
  </w:style>
  <w:style w:styleId="Style_7_ch" w:type="character">
    <w:name w:val="No Spacing"/>
    <w:link w:val="Style_7"/>
  </w:style>
  <w:style w:styleId="Style_8" w:type="paragraph">
    <w:name w:val="toc 7"/>
    <w:next w:val="Style_1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apple-converted-space"/>
    <w:basedOn w:val="Style_10"/>
    <w:link w:val="Style_9_ch"/>
  </w:style>
  <w:style w:styleId="Style_9_ch" w:type="character">
    <w:name w:val="apple-converted-space"/>
    <w:basedOn w:val="Style_10_ch"/>
    <w:link w:val="Style_9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1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footer"/>
    <w:basedOn w:val="Style_1"/>
    <w:link w:val="Style_13_ch"/>
    <w:pPr>
      <w:widowControl w:val="1"/>
      <w:tabs>
        <w:tab w:leader="none" w:pos="4677" w:val="center"/>
        <w:tab w:leader="none" w:pos="9355" w:val="right"/>
      </w:tabs>
      <w:ind/>
    </w:pPr>
  </w:style>
  <w:style w:styleId="Style_13_ch" w:type="character">
    <w:name w:val="footer"/>
    <w:basedOn w:val="Style_1_ch"/>
    <w:link w:val="Style_13"/>
  </w:style>
  <w:style w:styleId="Style_14" w:type="paragraph">
    <w:name w:val="toc 3"/>
    <w:next w:val="Style_1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List Paragraph"/>
    <w:basedOn w:val="Style_1"/>
    <w:link w:val="Style_15_ch"/>
    <w:pPr>
      <w:widowControl w:val="0"/>
      <w:ind w:left="720"/>
    </w:pPr>
    <w:rPr>
      <w:sz w:val="20"/>
    </w:rPr>
  </w:style>
  <w:style w:styleId="Style_15_ch" w:type="character">
    <w:name w:val="List Paragraph"/>
    <w:basedOn w:val="Style_1_ch"/>
    <w:link w:val="Style_15"/>
    <w:rPr>
      <w:sz w:val="20"/>
    </w:rPr>
  </w:style>
  <w:style w:styleId="Style_16" w:type="paragraph">
    <w:name w:val="heading 5"/>
    <w:next w:val="Style_1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1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eader"/>
    <w:basedOn w:val="Style_1"/>
    <w:link w:val="Style_18_ch"/>
    <w:pPr>
      <w:widowControl w:val="1"/>
      <w:tabs>
        <w:tab w:leader="none" w:pos="4677" w:val="center"/>
        <w:tab w:leader="none" w:pos="9355" w:val="right"/>
      </w:tabs>
      <w:ind/>
    </w:pPr>
  </w:style>
  <w:style w:styleId="Style_18_ch" w:type="character">
    <w:name w:val="header"/>
    <w:basedOn w:val="Style_1_ch"/>
    <w:link w:val="Style_18"/>
  </w:style>
  <w:style w:styleId="Style_19" w:type="paragraph">
    <w:name w:val="Body Text"/>
    <w:basedOn w:val="Style_1"/>
    <w:link w:val="Style_19_ch"/>
    <w:pPr>
      <w:widowControl w:val="1"/>
      <w:ind/>
      <w:jc w:val="both"/>
    </w:pPr>
    <w:rPr>
      <w:sz w:val="32"/>
    </w:rPr>
  </w:style>
  <w:style w:styleId="Style_19_ch" w:type="character">
    <w:name w:val="Body Text"/>
    <w:basedOn w:val="Style_1_ch"/>
    <w:link w:val="Style_19"/>
    <w:rPr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1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1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1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Balloon Text"/>
    <w:basedOn w:val="Style_1"/>
    <w:link w:val="Style_26_ch"/>
    <w:rPr>
      <w:rFonts w:ascii="Tahoma" w:hAnsi="Tahoma"/>
      <w:sz w:val="16"/>
    </w:rPr>
  </w:style>
  <w:style w:styleId="Style_26_ch" w:type="character">
    <w:name w:val="Balloon Text"/>
    <w:basedOn w:val="Style_1_ch"/>
    <w:link w:val="Style_26"/>
    <w:rPr>
      <w:rFonts w:ascii="Tahoma" w:hAnsi="Tahoma"/>
      <w:sz w:val="16"/>
    </w:rPr>
  </w:style>
  <w:style w:styleId="Style_27" w:type="paragraph">
    <w:name w:val="Знак Знак Знак Знак"/>
    <w:basedOn w:val="Style_1"/>
    <w:link w:val="Style_27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7_ch" w:type="character">
    <w:name w:val="Знак Знак Знак Знак"/>
    <w:basedOn w:val="Style_1_ch"/>
    <w:link w:val="Style_27"/>
    <w:rPr>
      <w:rFonts w:ascii="Verdana" w:hAnsi="Verdana"/>
      <w:sz w:val="20"/>
    </w:rPr>
  </w:style>
  <w:style w:styleId="Style_28" w:type="paragraph">
    <w:name w:val="Normal (Web)"/>
    <w:basedOn w:val="Style_1"/>
    <w:link w:val="Style_28_ch"/>
    <w:pPr>
      <w:widowControl w:val="1"/>
      <w:spacing w:afterAutospacing="on" w:beforeAutospacing="on"/>
      <w:ind/>
    </w:pPr>
  </w:style>
  <w:style w:styleId="Style_28_ch" w:type="character">
    <w:name w:val="Normal (Web)"/>
    <w:basedOn w:val="Style_1_ch"/>
    <w:link w:val="Style_28"/>
  </w:style>
  <w:style w:styleId="Style_29" w:type="paragraph">
    <w:name w:val="toc 5"/>
    <w:next w:val="Style_1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List Paragraph"/>
    <w:basedOn w:val="Style_1"/>
    <w:link w:val="Style_30_ch"/>
    <w:pPr>
      <w:widowControl w:val="1"/>
      <w:ind w:left="708"/>
    </w:pPr>
  </w:style>
  <w:style w:styleId="Style_30_ch" w:type="character">
    <w:name w:val="List Paragraph"/>
    <w:basedOn w:val="Style_1_ch"/>
    <w:link w:val="Style_30"/>
  </w:style>
  <w:style w:styleId="Style_31" w:type="paragraph">
    <w:name w:val="Subtitle"/>
    <w:next w:val="Style_1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Основной текст с отступом 21"/>
    <w:basedOn w:val="Style_1"/>
    <w:link w:val="Style_32_ch"/>
    <w:pPr>
      <w:widowControl w:val="1"/>
      <w:spacing w:after="120" w:line="480" w:lineRule="auto"/>
      <w:ind w:left="283"/>
      <w:jc w:val="both"/>
    </w:pPr>
    <w:rPr>
      <w:sz w:val="26"/>
    </w:rPr>
  </w:style>
  <w:style w:styleId="Style_32_ch" w:type="character">
    <w:name w:val="Основной текст с отступом 21"/>
    <w:basedOn w:val="Style_1_ch"/>
    <w:link w:val="Style_32"/>
    <w:rPr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33" w:type="paragraph">
    <w:name w:val="Title"/>
    <w:next w:val="Style_1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1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heading 2"/>
    <w:next w:val="Style_1"/>
    <w:link w:val="Style_3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2026-04-28T12:16:13Z</dcterms:created>
  <dcterms:modified xsi:type="dcterms:W3CDTF">2026-04-28T12:16:13Z</dcterms:modified>
</cp:coreProperties>
</file>